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554" w:rsidRPr="009F168C" w:rsidRDefault="00620FBA" w:rsidP="008F573A">
      <w:pPr>
        <w:autoSpaceDE w:val="0"/>
        <w:autoSpaceDN w:val="0"/>
        <w:adjustRightInd w:val="0"/>
        <w:spacing w:before="240" w:after="0" w:line="240" w:lineRule="auto"/>
        <w:jc w:val="both"/>
        <w:rPr>
          <w:rFonts w:cstheme="minorHAnsi"/>
          <w:sz w:val="24"/>
          <w:szCs w:val="24"/>
        </w:rPr>
      </w:pPr>
      <w:r w:rsidRPr="009F168C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</w:t>
      </w:r>
      <w:r w:rsidRPr="009F168C">
        <w:rPr>
          <w:rFonts w:cstheme="minorHAnsi"/>
          <w:sz w:val="24"/>
          <w:szCs w:val="24"/>
        </w:rPr>
        <w:t xml:space="preserve">                                                          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864A05">
        <w:rPr>
          <w:rFonts w:cstheme="minorHAnsi"/>
          <w:sz w:val="24"/>
          <w:szCs w:val="24"/>
        </w:rPr>
        <w:t xml:space="preserve">                        </w:t>
      </w:r>
      <w:r w:rsidR="0052077F">
        <w:rPr>
          <w:rFonts w:cstheme="minorHAnsi"/>
          <w:sz w:val="24"/>
          <w:szCs w:val="24"/>
        </w:rPr>
        <w:t>Lunes 17 de noviembre</w:t>
      </w:r>
      <w:r>
        <w:rPr>
          <w:rFonts w:cstheme="minorHAnsi"/>
          <w:sz w:val="24"/>
          <w:szCs w:val="24"/>
        </w:rPr>
        <w:t xml:space="preserve"> </w:t>
      </w:r>
      <w:r w:rsidRPr="009F168C">
        <w:rPr>
          <w:rFonts w:cstheme="minorHAnsi"/>
          <w:sz w:val="24"/>
          <w:szCs w:val="24"/>
        </w:rPr>
        <w:t>del 2025</w:t>
      </w:r>
    </w:p>
    <w:p w:rsidR="0052077F" w:rsidRDefault="00917A58" w:rsidP="00864A05">
      <w:pPr>
        <w:autoSpaceDE w:val="0"/>
        <w:autoSpaceDN w:val="0"/>
        <w:adjustRightInd w:val="0"/>
        <w:spacing w:before="240" w:after="0" w:line="240" w:lineRule="auto"/>
        <w:jc w:val="center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CIR</w:t>
      </w:r>
      <w:r w:rsidR="005C6E34">
        <w:rPr>
          <w:rFonts w:cstheme="minorHAnsi"/>
          <w:b/>
          <w:sz w:val="24"/>
          <w:szCs w:val="24"/>
          <w:u w:val="single"/>
        </w:rPr>
        <w:t>CU</w:t>
      </w:r>
      <w:r w:rsidR="0052077F">
        <w:rPr>
          <w:rFonts w:cstheme="minorHAnsi"/>
          <w:b/>
          <w:sz w:val="24"/>
          <w:szCs w:val="24"/>
          <w:u w:val="single"/>
        </w:rPr>
        <w:t>LAR N°05</w:t>
      </w:r>
      <w:r>
        <w:rPr>
          <w:rFonts w:cstheme="minorHAnsi"/>
          <w:b/>
          <w:sz w:val="24"/>
          <w:szCs w:val="24"/>
          <w:u w:val="single"/>
        </w:rPr>
        <w:t xml:space="preserve">/2025- </w:t>
      </w:r>
      <w:r w:rsidR="0052077F" w:rsidRPr="0052077F">
        <w:rPr>
          <w:rFonts w:cstheme="minorHAnsi"/>
          <w:b/>
          <w:sz w:val="24"/>
          <w:szCs w:val="24"/>
          <w:u w:val="single"/>
        </w:rPr>
        <w:t>Nuevo Instructivo de Dispensa de Recetas desde el 01</w:t>
      </w:r>
      <w:r w:rsidR="0052077F">
        <w:rPr>
          <w:rFonts w:cstheme="minorHAnsi"/>
          <w:b/>
          <w:sz w:val="24"/>
          <w:szCs w:val="24"/>
          <w:u w:val="single"/>
        </w:rPr>
        <w:t xml:space="preserve"> de diciembre del 20</w:t>
      </w:r>
      <w:r w:rsidR="0052077F" w:rsidRPr="0052077F">
        <w:rPr>
          <w:rFonts w:cstheme="minorHAnsi"/>
          <w:b/>
          <w:sz w:val="24"/>
          <w:szCs w:val="24"/>
          <w:u w:val="single"/>
        </w:rPr>
        <w:t>25</w:t>
      </w:r>
    </w:p>
    <w:p w:rsidR="0052077F" w:rsidRDefault="008A53AE" w:rsidP="00620FBA">
      <w:pPr>
        <w:autoSpaceDE w:val="0"/>
        <w:autoSpaceDN w:val="0"/>
        <w:adjustRightInd w:val="0"/>
        <w:spacing w:before="24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Estimado prestador;</w:t>
      </w:r>
    </w:p>
    <w:p w:rsidR="00864A05" w:rsidRDefault="00864A05" w:rsidP="00620FBA">
      <w:pPr>
        <w:autoSpaceDE w:val="0"/>
        <w:autoSpaceDN w:val="0"/>
        <w:adjustRightInd w:val="0"/>
        <w:spacing w:before="240" w:after="0" w:line="240" w:lineRule="auto"/>
        <w:rPr>
          <w:rFonts w:cstheme="minorHAnsi"/>
          <w:sz w:val="24"/>
          <w:szCs w:val="24"/>
        </w:rPr>
      </w:pPr>
    </w:p>
    <w:p w:rsidR="0052077F" w:rsidRPr="0052077F" w:rsidRDefault="0052077F" w:rsidP="0052077F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Se informa que, a partir del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1° de diciembre de 2025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, entrarán en vigencia nuevas disposiciones aplicables a la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dispensa de medicamentos ambulatorios,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 que actualizan determinados puntos de las normas actualmente vigentes.</w:t>
      </w: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A continuación, se detallan los principales cambios a tener en cuenta:</w:t>
      </w: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79"/>
        <w:gridCol w:w="3736"/>
        <w:gridCol w:w="4267"/>
      </w:tblGrid>
      <w:tr w:rsidR="0052077F" w:rsidRPr="0052077F" w:rsidTr="0052077F">
        <w:trPr>
          <w:trHeight w:val="97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jc w:val="center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Aspecto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jc w:val="center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Antes (Normas 2020)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jc w:val="center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Ahora (Desde 01/12/2025)</w:t>
            </w:r>
          </w:p>
        </w:tc>
      </w:tr>
      <w:tr w:rsidR="0052077F" w:rsidRPr="0052077F" w:rsidTr="0052077F">
        <w:trPr>
          <w:trHeight w:val="97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1. Validez de la receta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60 días corridos desde la fecha de emisión o autorización.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30 días corridos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desde la fecha de emisión.</w:t>
            </w:r>
          </w:p>
        </w:tc>
      </w:tr>
      <w:tr w:rsidR="0052077F" w:rsidRPr="0052077F" w:rsidTr="0052077F">
        <w:trPr>
          <w:trHeight w:val="134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2. Recetas posdatadas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No contempladas.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 permiten hasta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3 recetas posdatadas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con fechas diferidas dentro del trimestre. Cada una se dispensa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a partir de su fecha de vigencia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</w:tr>
      <w:tr w:rsidR="0052077F" w:rsidRPr="0052077F" w:rsidTr="0052077F">
        <w:trPr>
          <w:trHeight w:val="134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3. Tipo de receta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 aceptaban recetarios oficiales, Rp o emitidos desde la web institucional.</w:t>
            </w:r>
          </w:p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Actualización: Recetas electrónicas de cualquier plataforma.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 mantiene. Se aceptan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recetas electrónicas de cualquier plataforma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o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manuales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, (hasta que el Ministerio de Salud de la Nación prohíba su uso).</w:t>
            </w:r>
          </w:p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C82613"/>
                <w:sz w:val="20"/>
                <w:szCs w:val="20"/>
              </w:rPr>
            </w:pPr>
          </w:p>
        </w:tc>
      </w:tr>
      <w:tr w:rsidR="0052077F" w:rsidRPr="0052077F" w:rsidTr="0052077F">
        <w:trPr>
          <w:trHeight w:val="97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4. Firma profesional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Obligatoriamente manuscrita y con sello.</w:t>
            </w:r>
          </w:p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Actualización: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digital, electrónica o manual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, según el tipo de receta.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 mantiene. Puede ser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electrónica de cualquier plataforma  o manual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,  según el tipo de receta.</w:t>
            </w:r>
          </w:p>
        </w:tc>
      </w:tr>
      <w:tr w:rsidR="0052077F" w:rsidRPr="0052077F" w:rsidTr="0052077F">
        <w:trPr>
          <w:trHeight w:val="1451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5. Datos obligatorios de la receta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Fecha de emisión, DNI, nombre y apellido del afiliado.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 deben consignar: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fecha de emisión, nombre y apellido, N° de DNI y nombre de la Obra Social.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Si el DNI es erróneo, puede salvarlo el farmacéutico con firma y sello, previa verificación de identidad, SOLO RECETAS MANUALES. NO APLICA A LAS ELECTRONICAS.</w:t>
            </w:r>
          </w:p>
        </w:tc>
      </w:tr>
      <w:tr w:rsidR="0052077F" w:rsidRPr="0052077F" w:rsidTr="0052077F">
        <w:trPr>
          <w:trHeight w:val="1502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lastRenderedPageBreak/>
              <w:t>6. Prescripción (genérico y presentación)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Por genérico, concentración, forma y presentación. Se aceptaba indicación de marca sugerida.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 mantiene igual, pero se aclara que el cambio de marca puede hacerse por una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de igual composición y menor precio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 No se aceptan envases hospitalarios. Si falta cantidad de unidades, se entrega el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envase mas pequeño.</w:t>
            </w:r>
          </w:p>
        </w:tc>
      </w:tr>
      <w:tr w:rsidR="0052077F" w:rsidRPr="0052077F" w:rsidTr="0052077F">
        <w:trPr>
          <w:trHeight w:val="610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7. Renglones por receta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Hasta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3 renglones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Hasta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2 renglones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por receta.</w:t>
            </w:r>
          </w:p>
        </w:tc>
      </w:tr>
      <w:tr w:rsidR="0052077F" w:rsidRPr="0052077F" w:rsidTr="0052077F">
        <w:trPr>
          <w:trHeight w:val="134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8. Cantidad de medicamentos / envases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Hasta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2 envases por renglón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 En planes especiales, hasta 3.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</w:rPr>
            </w:pPr>
            <w:r w:rsidRPr="0052077F">
              <w:rPr>
                <w:rFonts w:ascii="Calibri" w:eastAsia="Times New Roman" w:hAnsi="Calibri" w:cs="Calibri"/>
                <w:color w:val="000000"/>
                <w:sz w:val="24"/>
                <w:szCs w:val="24"/>
                <w:bdr w:val="none" w:sz="0" w:space="0" w:color="auto" w:frame="1"/>
              </w:rPr>
              <w:t>Se mantiene el tope de </w:t>
            </w:r>
            <w:r w:rsidRPr="0052077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2 envases por renglón</w:t>
            </w:r>
            <w:r w:rsidRPr="0052077F">
              <w:rPr>
                <w:rFonts w:ascii="Calibri" w:eastAsia="Times New Roman" w:hAnsi="Calibri" w:cs="Calibri"/>
                <w:color w:val="000000"/>
                <w:sz w:val="24"/>
                <w:szCs w:val="24"/>
                <w:bdr w:val="none" w:sz="0" w:space="0" w:color="auto" w:frame="1"/>
              </w:rPr>
              <w:t>. Si se indica más de uno o envase grande, debe figurar </w:t>
            </w:r>
            <w:r w:rsidRPr="0052077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“Tratamiento prolongado”.</w:t>
            </w:r>
          </w:p>
          <w:p w:rsidR="0052077F" w:rsidRPr="0052077F" w:rsidRDefault="0052077F" w:rsidP="005207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</w:rPr>
            </w:pPr>
            <w:r w:rsidRPr="0052077F">
              <w:rPr>
                <w:rFonts w:ascii="Calibri" w:eastAsia="Times New Roman" w:hAnsi="Calibri" w:cs="Calibri"/>
                <w:color w:val="000000"/>
                <w:sz w:val="24"/>
                <w:szCs w:val="24"/>
                <w:bdr w:val="none" w:sz="0" w:space="0" w:color="auto" w:frame="1"/>
              </w:rPr>
              <w:t>Se aclaran criterios sobre tamaños: “grande” </w:t>
            </w:r>
            <w:r w:rsidRPr="0052077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→ </w:t>
            </w:r>
            <w:r w:rsidRPr="0052077F">
              <w:rPr>
                <w:rFonts w:ascii="Calibri" w:eastAsia="Times New Roman" w:hAnsi="Calibri" w:cs="Calibri"/>
                <w:color w:val="000000"/>
                <w:sz w:val="24"/>
                <w:szCs w:val="24"/>
                <w:bdr w:val="none" w:sz="0" w:space="0" w:color="auto" w:frame="1"/>
              </w:rPr>
              <w:t>se entrega el mayor siempre y cuando haya dos tamaños; si hay tres tamaños </w:t>
            </w:r>
            <w:r w:rsidRPr="0052077F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→</w:t>
            </w:r>
            <w:r w:rsidRPr="0052077F">
              <w:rPr>
                <w:rFonts w:ascii="Calibri" w:eastAsia="Times New Roman" w:hAnsi="Calibri" w:cs="Calibri"/>
                <w:color w:val="000000"/>
                <w:sz w:val="24"/>
                <w:szCs w:val="24"/>
                <w:bdr w:val="none" w:sz="0" w:space="0" w:color="auto" w:frame="1"/>
              </w:rPr>
              <w:t> el del medio; el más grande </w:t>
            </w:r>
            <w:r w:rsidRPr="0052077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solo</w:t>
            </w:r>
            <w:r w:rsidRPr="0052077F">
              <w:rPr>
                <w:rFonts w:ascii="Calibri" w:eastAsia="Times New Roman" w:hAnsi="Calibri" w:cs="Calibri"/>
                <w:color w:val="000000"/>
                <w:sz w:val="24"/>
                <w:szCs w:val="24"/>
                <w:bdr w:val="none" w:sz="0" w:space="0" w:color="auto" w:frame="1"/>
              </w:rPr>
              <w:t> si se indica cantidad de unidades. (</w:t>
            </w:r>
            <w:r w:rsidRPr="0052077F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r w:rsidRPr="0052077F">
              <w:rPr>
                <w:rFonts w:ascii="Calibri" w:eastAsia="Times New Roman" w:hAnsi="Calibri" w:cs="Calibri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  <w:tr w:rsidR="0052077F" w:rsidRPr="0052077F" w:rsidTr="0052077F">
        <w:trPr>
          <w:trHeight w:val="930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9. Antibióticos inyectables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Hasta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8 unidades monodosis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o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1 envase de 6 dosis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Hasta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6 unidades monodosis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</w:tr>
      <w:tr w:rsidR="0052077F" w:rsidRPr="0052077F" w:rsidTr="0052077F">
        <w:trPr>
          <w:trHeight w:val="134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10. Dispensa en planes crónicos, procreación responsable y diabetes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Autorización y dispensa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trimestral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Autorización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trimestral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, pero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dispensa mensual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 Se podrán emitir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3 recetas posdatadas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</w:tr>
      <w:tr w:rsidR="0052077F" w:rsidRPr="0052077F" w:rsidTr="0052077F">
        <w:trPr>
          <w:trHeight w:val="97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11. Presentación prescripta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Podía interpretarse el tamaño o cantidad.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Si no se indica o es errónea, se dispensa la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menor presentación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</w:tr>
      <w:tr w:rsidR="0052077F" w:rsidRPr="0052077F" w:rsidTr="0052077F">
        <w:trPr>
          <w:trHeight w:val="134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12. Documentación de la farmacia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Ticket fiscal adjunto a la receta.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Ticket fiscal,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remito oficial 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 (en recetas electrónicas homologadas) Siempre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firma y sello del farmacéutico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</w:tr>
      <w:tr w:rsidR="0052077F" w:rsidRPr="0052077F" w:rsidTr="0052077F">
        <w:trPr>
          <w:trHeight w:val="1349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13. Datos del paciente / tercero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Firma, aclaración y DNI; domicilio y teléfono opcionales.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 mantienen FIRMA. ACLARACION,DNI obligatorio, DOMICILIO Y TELEFONO; opcionales. Si retira un tercero, debe presentar su </w:t>
            </w: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DNI</w:t>
            </w: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.</w:t>
            </w:r>
          </w:p>
        </w:tc>
      </w:tr>
      <w:tr w:rsidR="0052077F" w:rsidRPr="0052077F" w:rsidTr="0052077F">
        <w:trPr>
          <w:trHeight w:val="1251"/>
        </w:trPr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b/>
                <w:bCs/>
                <w:color w:val="000000"/>
                <w:sz w:val="20"/>
                <w:szCs w:val="20"/>
              </w:rPr>
              <w:t>14. Soporte de receta electrónica</w:t>
            </w:r>
          </w:p>
        </w:tc>
        <w:tc>
          <w:tcPr>
            <w:tcW w:w="4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No definido. Actualización: impresión de todas las recetas, excepto las homologadas.</w:t>
            </w:r>
          </w:p>
        </w:tc>
        <w:tc>
          <w:tcPr>
            <w:tcW w:w="5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77F" w:rsidRPr="0052077F" w:rsidRDefault="0052077F" w:rsidP="0052077F">
            <w:pPr>
              <w:spacing w:line="240" w:lineRule="auto"/>
              <w:textAlignment w:val="baseline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  <w:r w:rsidRPr="0052077F"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  <w:t>Se deberan continuar presentando impresas hasta la implementación definitiva de la receta electrónica y la prohibicion de la receta manuscrita.</w:t>
            </w:r>
          </w:p>
        </w:tc>
      </w:tr>
    </w:tbl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  <w:r w:rsidRPr="0052077F">
        <w:rPr>
          <w:rFonts w:ascii="Segoe UI" w:eastAsia="Times New Roman" w:hAnsi="Segoe UI" w:cs="Segoe UI"/>
          <w:color w:val="000000"/>
          <w:sz w:val="20"/>
          <w:szCs w:val="20"/>
        </w:rPr>
        <w:lastRenderedPageBreak/>
        <w:t>(1): </w:t>
      </w:r>
    </w:p>
    <w:p w:rsidR="0052077F" w:rsidRPr="0052077F" w:rsidRDefault="0052077F" w:rsidP="0052077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firstLine="0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  <w:r w:rsidRPr="0052077F">
        <w:rPr>
          <w:rFonts w:ascii="Segoe UI" w:eastAsia="Times New Roman" w:hAnsi="Segoe UI" w:cs="Segoe UI"/>
          <w:color w:val="000000"/>
          <w:sz w:val="20"/>
          <w:szCs w:val="20"/>
        </w:rPr>
        <w:t>Si se prescribe más de 1(un) envase o 1(un) envase grande o mediano </w:t>
      </w:r>
      <w:r w:rsidRPr="0052077F">
        <w:rPr>
          <w:rFonts w:ascii="Segoe UI" w:eastAsia="Times New Roman" w:hAnsi="Segoe UI" w:cs="Segoe UI"/>
          <w:color w:val="000000"/>
          <w:sz w:val="20"/>
          <w:szCs w:val="20"/>
          <w:u w:val="single"/>
        </w:rPr>
        <w:t>debe expresarse la condición de </w:t>
      </w:r>
      <w:r w:rsidRPr="0052077F">
        <w:rPr>
          <w:rFonts w:ascii="Segoe UI" w:eastAsia="Times New Roman" w:hAnsi="Segoe UI" w:cs="Segoe UI"/>
          <w:b/>
          <w:bCs/>
          <w:color w:val="000000"/>
          <w:sz w:val="20"/>
          <w:szCs w:val="20"/>
          <w:u w:val="single"/>
        </w:rPr>
        <w:t>Tratamiento Prolongado</w:t>
      </w:r>
      <w:r w:rsidRPr="0052077F">
        <w:rPr>
          <w:rFonts w:ascii="Segoe UI" w:eastAsia="Times New Roman" w:hAnsi="Segoe UI" w:cs="Segoe UI"/>
          <w:color w:val="000000"/>
          <w:sz w:val="20"/>
          <w:szCs w:val="20"/>
        </w:rPr>
        <w:t>.</w:t>
      </w: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2077F" w:rsidRPr="0052077F" w:rsidRDefault="0052077F" w:rsidP="0052077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firstLine="0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  <w:r w:rsidRPr="0052077F">
        <w:rPr>
          <w:rFonts w:ascii="Segoe UI" w:eastAsia="Times New Roman" w:hAnsi="Segoe UI" w:cs="Segoe UI"/>
          <w:color w:val="000000"/>
          <w:sz w:val="20"/>
          <w:szCs w:val="20"/>
        </w:rPr>
        <w:t>Cuando el médico indica la palabra grande en caso de existir 2 (dos) tamaños distintos se entrega el mas grande. </w:t>
      </w: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  <w:r w:rsidRPr="0052077F">
        <w:rPr>
          <w:rFonts w:ascii="Segoe UI" w:eastAsia="Times New Roman" w:hAnsi="Segoe UI" w:cs="Segoe UI"/>
          <w:color w:val="000000"/>
          <w:sz w:val="20"/>
          <w:szCs w:val="20"/>
        </w:rPr>
        <w:t>Si se trata de un producto con 3(tres) presentaciones se entrega el del medio. </w:t>
      </w: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  <w:r w:rsidRPr="0052077F">
        <w:rPr>
          <w:rFonts w:ascii="Segoe UI" w:eastAsia="Times New Roman" w:hAnsi="Segoe UI" w:cs="Segoe UI"/>
          <w:color w:val="000000"/>
          <w:sz w:val="20"/>
          <w:szCs w:val="20"/>
        </w:rPr>
        <w:t>Si tiene más de 4 (cuatro) presentaciones el envase grande corresponde al siguiente al mas pequeño.</w:t>
      </w: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  <w:r w:rsidRPr="0052077F">
        <w:rPr>
          <w:rFonts w:ascii="Segoe UI" w:eastAsia="Times New Roman" w:hAnsi="Segoe UI" w:cs="Segoe UI"/>
          <w:color w:val="000000"/>
          <w:sz w:val="20"/>
          <w:szCs w:val="20"/>
        </w:rPr>
        <w:t>Solo se puede entregar el envase más grande si el médico indica la cantidad de unidades.</w:t>
      </w:r>
    </w:p>
    <w:p w:rsidR="0052077F" w:rsidRPr="0052077F" w:rsidRDefault="0052077F" w:rsidP="0052077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0"/>
          <w:szCs w:val="20"/>
        </w:rPr>
      </w:pPr>
    </w:p>
    <w:p w:rsidR="0052077F" w:rsidRPr="0052077F" w:rsidRDefault="0052077F" w:rsidP="0052077F">
      <w:pPr>
        <w:shd w:val="clear" w:color="auto" w:fill="FFFFFF"/>
        <w:spacing w:line="240" w:lineRule="auto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Recordatorio para la operatoria de la farmacia:</w:t>
      </w:r>
    </w:p>
    <w:p w:rsidR="0052077F" w:rsidRPr="0052077F" w:rsidRDefault="0052077F" w:rsidP="0052077F">
      <w:pPr>
        <w:numPr>
          <w:ilvl w:val="0"/>
          <w:numId w:val="8"/>
        </w:numPr>
        <w:shd w:val="clear" w:color="auto" w:fill="FFFFFF"/>
        <w:spacing w:line="308" w:lineRule="atLeast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Verificar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fecha de emisión (30 días)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 antes de validar.</w:t>
      </w:r>
    </w:p>
    <w:p w:rsidR="0052077F" w:rsidRPr="0052077F" w:rsidRDefault="0052077F" w:rsidP="0052077F">
      <w:pPr>
        <w:numPr>
          <w:ilvl w:val="0"/>
          <w:numId w:val="8"/>
        </w:numPr>
        <w:shd w:val="clear" w:color="auto" w:fill="FFFFFF"/>
        <w:spacing w:line="308" w:lineRule="atLeast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Confirmar que figure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nombre de la Obra Social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 y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datos completos del afiliado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.</w:t>
      </w:r>
    </w:p>
    <w:p w:rsidR="0052077F" w:rsidRPr="0052077F" w:rsidRDefault="0052077F" w:rsidP="0052077F">
      <w:pPr>
        <w:numPr>
          <w:ilvl w:val="0"/>
          <w:numId w:val="8"/>
        </w:numPr>
        <w:shd w:val="clear" w:color="auto" w:fill="FFFFFF"/>
        <w:spacing w:line="308" w:lineRule="atLeast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El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sistema aplica topes de dosis y alertas automáticas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.</w:t>
      </w:r>
    </w:p>
    <w:p w:rsidR="0052077F" w:rsidRPr="0052077F" w:rsidRDefault="0052077F" w:rsidP="0052077F">
      <w:pPr>
        <w:numPr>
          <w:ilvl w:val="0"/>
          <w:numId w:val="8"/>
        </w:numPr>
        <w:shd w:val="clear" w:color="auto" w:fill="FFFFFF"/>
        <w:spacing w:line="308" w:lineRule="atLeast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En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planes crónicos o con enrolamiento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, la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dispensa es mensual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.</w:t>
      </w:r>
    </w:p>
    <w:p w:rsidR="0052077F" w:rsidRPr="0052077F" w:rsidRDefault="0052077F" w:rsidP="0052077F">
      <w:pPr>
        <w:numPr>
          <w:ilvl w:val="0"/>
          <w:numId w:val="8"/>
        </w:numPr>
        <w:shd w:val="clear" w:color="auto" w:fill="FFFFFF"/>
        <w:spacing w:line="308" w:lineRule="atLeast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En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antibióticos inyectables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, respetar estrictamente el límite de 6 monodosis.</w:t>
      </w:r>
    </w:p>
    <w:p w:rsidR="0052077F" w:rsidRPr="0052077F" w:rsidRDefault="0052077F" w:rsidP="0052077F">
      <w:pPr>
        <w:numPr>
          <w:ilvl w:val="0"/>
          <w:numId w:val="8"/>
        </w:numPr>
        <w:shd w:val="clear" w:color="auto" w:fill="FFFFFF"/>
        <w:spacing w:line="308" w:lineRule="atLeast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Si el tamaño del envase no figura, dispensar el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envase más pequeño.</w:t>
      </w:r>
    </w:p>
    <w:p w:rsidR="0052077F" w:rsidRPr="0052077F" w:rsidRDefault="0052077F" w:rsidP="0052077F">
      <w:pPr>
        <w:numPr>
          <w:ilvl w:val="0"/>
          <w:numId w:val="8"/>
        </w:numPr>
        <w:shd w:val="clear" w:color="auto" w:fill="FFFFFF"/>
        <w:spacing w:line="308" w:lineRule="atLeast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Revisar que la receta esté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completa, legible y validada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 antes de la dispensa.</w:t>
      </w:r>
    </w:p>
    <w:p w:rsidR="0052077F" w:rsidRPr="0052077F" w:rsidRDefault="0052077F" w:rsidP="0052077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LAS RECETAS SON: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electrónicas desde plataforma o manuscrita / papel con firma y sello.</w:t>
      </w:r>
    </w:p>
    <w:p w:rsidR="0052077F" w:rsidRDefault="0052077F" w:rsidP="0052077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 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Todo lo </w:t>
      </w:r>
      <w:r w:rsidRPr="0052077F">
        <w:rPr>
          <w:rFonts w:ascii="Segoe UI" w:eastAsia="Times New Roman" w:hAnsi="Segoe UI" w:cs="Segoe UI"/>
          <w:b/>
          <w:bCs/>
          <w:color w:val="000000"/>
          <w:sz w:val="24"/>
          <w:szCs w:val="24"/>
        </w:rPr>
        <w:t>no modificado expresamente</w:t>
      </w:r>
      <w:r w:rsidRPr="0052077F">
        <w:rPr>
          <w:rFonts w:ascii="Segoe UI" w:eastAsia="Times New Roman" w:hAnsi="Segoe UI" w:cs="Segoe UI"/>
          <w:color w:val="000000"/>
          <w:sz w:val="24"/>
          <w:szCs w:val="24"/>
        </w:rPr>
        <w:t> por la presente continúa vigente según las Normas 2020 y circulares complementarias.</w:t>
      </w:r>
    </w:p>
    <w:p w:rsidR="0052077F" w:rsidRPr="0052077F" w:rsidRDefault="0052077F" w:rsidP="0052077F">
      <w:pPr>
        <w:shd w:val="clear" w:color="auto" w:fill="FFFFFF"/>
        <w:spacing w:before="100" w:beforeAutospacing="1" w:after="100" w:afterAutospacing="1" w:line="240" w:lineRule="auto"/>
        <w:ind w:left="720"/>
        <w:textAlignment w:val="baseline"/>
        <w:rPr>
          <w:rFonts w:ascii="Segoe UI" w:eastAsia="Times New Roman" w:hAnsi="Segoe UI" w:cs="Segoe UI"/>
          <w:color w:val="000000"/>
          <w:sz w:val="24"/>
          <w:szCs w:val="24"/>
        </w:rPr>
      </w:pPr>
    </w:p>
    <w:p w:rsidR="00917A58" w:rsidRPr="00BD3CC4" w:rsidRDefault="00620FBA" w:rsidP="00620FBA">
      <w:pPr>
        <w:autoSpaceDE w:val="0"/>
        <w:autoSpaceDN w:val="0"/>
        <w:adjustRightInd w:val="0"/>
        <w:spacing w:before="240"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52077F">
        <w:rPr>
          <w:rFonts w:cstheme="minorHAnsi"/>
          <w:sz w:val="24"/>
          <w:szCs w:val="24"/>
        </w:rPr>
        <w:tab/>
      </w:r>
      <w:r w:rsidR="0052077F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Unidad </w:t>
      </w:r>
      <w:r w:rsidR="0052077F">
        <w:rPr>
          <w:rFonts w:cstheme="minorHAnsi"/>
          <w:sz w:val="24"/>
          <w:szCs w:val="24"/>
        </w:rPr>
        <w:t xml:space="preserve">de Farmacias Propias y </w:t>
      </w:r>
      <w:r w:rsidRPr="00BD3CC4">
        <w:rPr>
          <w:rFonts w:cstheme="minorHAnsi"/>
          <w:sz w:val="24"/>
          <w:szCs w:val="24"/>
        </w:rPr>
        <w:t xml:space="preserve"> Convenidas</w:t>
      </w:r>
    </w:p>
    <w:p w:rsidR="00917A58" w:rsidRPr="00620FBA" w:rsidRDefault="00620FBA" w:rsidP="00620FBA">
      <w:pPr>
        <w:autoSpaceDE w:val="0"/>
        <w:autoSpaceDN w:val="0"/>
        <w:adjustRightInd w:val="0"/>
        <w:spacing w:before="240" w:after="0" w:line="240" w:lineRule="auto"/>
        <w:ind w:left="2832" w:firstLine="708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Subgerencia de Abastecimiento </w:t>
      </w:r>
      <w:r w:rsidRPr="00BD3CC4">
        <w:rPr>
          <w:rFonts w:cstheme="minorHAnsi"/>
          <w:sz w:val="24"/>
          <w:szCs w:val="24"/>
        </w:rPr>
        <w:t>F</w:t>
      </w:r>
      <w:r>
        <w:rPr>
          <w:rFonts w:cstheme="minorHAnsi"/>
          <w:sz w:val="24"/>
          <w:szCs w:val="24"/>
        </w:rPr>
        <w:t>armacéutico</w:t>
      </w:r>
      <w:r w:rsidR="00BD3CC4" w:rsidRPr="00BD3CC4">
        <w:rPr>
          <w:rFonts w:cstheme="minorHAnsi"/>
          <w:sz w:val="24"/>
          <w:szCs w:val="24"/>
        </w:rPr>
        <w:t>-</w:t>
      </w:r>
      <w:r>
        <w:rPr>
          <w:rFonts w:cstheme="minorHAnsi"/>
          <w:sz w:val="24"/>
          <w:szCs w:val="24"/>
        </w:rPr>
        <w:t>SAF- IOSFA</w:t>
      </w:r>
    </w:p>
    <w:p w:rsidR="00917A58" w:rsidRDefault="00917A58" w:rsidP="00A45353">
      <w:pPr>
        <w:autoSpaceDE w:val="0"/>
        <w:autoSpaceDN w:val="0"/>
        <w:adjustRightInd w:val="0"/>
        <w:spacing w:before="240"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:rsidR="00917A58" w:rsidRDefault="00917A58" w:rsidP="00A45353">
      <w:pPr>
        <w:autoSpaceDE w:val="0"/>
        <w:autoSpaceDN w:val="0"/>
        <w:adjustRightInd w:val="0"/>
        <w:spacing w:before="240"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sectPr w:rsidR="00917A58" w:rsidSect="00620FBA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9D2" w:rsidRDefault="003949D2" w:rsidP="00C105D8">
      <w:pPr>
        <w:spacing w:after="0" w:line="240" w:lineRule="auto"/>
      </w:pPr>
      <w:r>
        <w:separator/>
      </w:r>
    </w:p>
  </w:endnote>
  <w:endnote w:type="continuationSeparator" w:id="1">
    <w:p w:rsidR="003949D2" w:rsidRDefault="003949D2" w:rsidP="00C10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8938971"/>
      <w:docPartObj>
        <w:docPartGallery w:val="Page Numbers (Bottom of Page)"/>
        <w:docPartUnique/>
      </w:docPartObj>
    </w:sdtPr>
    <w:sdtContent>
      <w:p w:rsidR="008F573A" w:rsidRDefault="002F3F77">
        <w:pPr>
          <w:pStyle w:val="Piedepgina"/>
          <w:jc w:val="center"/>
        </w:pPr>
        <w:fldSimple w:instr=" PAGE   \* MERGEFORMAT ">
          <w:r w:rsidR="00864A05">
            <w:rPr>
              <w:noProof/>
            </w:rPr>
            <w:t>2</w:t>
          </w:r>
        </w:fldSimple>
      </w:p>
    </w:sdtContent>
  </w:sdt>
  <w:p w:rsidR="008F573A" w:rsidRDefault="008F573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9D2" w:rsidRDefault="003949D2" w:rsidP="00C105D8">
      <w:pPr>
        <w:spacing w:after="0" w:line="240" w:lineRule="auto"/>
      </w:pPr>
      <w:r>
        <w:separator/>
      </w:r>
    </w:p>
  </w:footnote>
  <w:footnote w:type="continuationSeparator" w:id="1">
    <w:p w:rsidR="003949D2" w:rsidRDefault="003949D2" w:rsidP="00C10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73A" w:rsidRDefault="008F573A">
    <w:pPr>
      <w:pStyle w:val="Encabezado"/>
    </w:pPr>
    <w:r w:rsidRPr="006C575D">
      <w:rPr>
        <w:noProof/>
      </w:rPr>
      <w:drawing>
        <wp:inline distT="0" distB="0" distL="0" distR="0">
          <wp:extent cx="682699" cy="794784"/>
          <wp:effectExtent l="19050" t="0" r="3101" b="0"/>
          <wp:docPr id="4" name="Imagen 14" descr="C:\Users\ebalenzuela\Desktop\logoTopIOSFA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balenzuela\Desktop\logoTopIOSFA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093" cy="79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F573A" w:rsidRDefault="008F573A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F1FBE"/>
    <w:multiLevelType w:val="multilevel"/>
    <w:tmpl w:val="0CC88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C54289"/>
    <w:multiLevelType w:val="multilevel"/>
    <w:tmpl w:val="8CDE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76439F"/>
    <w:multiLevelType w:val="hybridMultilevel"/>
    <w:tmpl w:val="2006CCE0"/>
    <w:lvl w:ilvl="0" w:tplc="E8768CF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EE485A"/>
    <w:multiLevelType w:val="multilevel"/>
    <w:tmpl w:val="ACB89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DF04DB"/>
    <w:multiLevelType w:val="multilevel"/>
    <w:tmpl w:val="F320A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640A5F"/>
    <w:multiLevelType w:val="multilevel"/>
    <w:tmpl w:val="32740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AE0E6F"/>
    <w:multiLevelType w:val="multilevel"/>
    <w:tmpl w:val="D1900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3710C63"/>
    <w:multiLevelType w:val="hybridMultilevel"/>
    <w:tmpl w:val="522CBD2C"/>
    <w:lvl w:ilvl="0" w:tplc="4BB01F62">
      <w:start w:val="3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472DE"/>
    <w:rsid w:val="00011600"/>
    <w:rsid w:val="00014F37"/>
    <w:rsid w:val="000515F3"/>
    <w:rsid w:val="00055160"/>
    <w:rsid w:val="00084C8D"/>
    <w:rsid w:val="00093E1F"/>
    <w:rsid w:val="000B6581"/>
    <w:rsid w:val="001105D5"/>
    <w:rsid w:val="0014502A"/>
    <w:rsid w:val="0015114F"/>
    <w:rsid w:val="00183E4E"/>
    <w:rsid w:val="00216673"/>
    <w:rsid w:val="002460A9"/>
    <w:rsid w:val="00272515"/>
    <w:rsid w:val="00274BA7"/>
    <w:rsid w:val="0028224B"/>
    <w:rsid w:val="00287DAD"/>
    <w:rsid w:val="00291599"/>
    <w:rsid w:val="002B1789"/>
    <w:rsid w:val="002B7432"/>
    <w:rsid w:val="002C46C8"/>
    <w:rsid w:val="002F3F77"/>
    <w:rsid w:val="003115FF"/>
    <w:rsid w:val="003137E0"/>
    <w:rsid w:val="0031450F"/>
    <w:rsid w:val="00326313"/>
    <w:rsid w:val="0033599C"/>
    <w:rsid w:val="003949D2"/>
    <w:rsid w:val="003C121E"/>
    <w:rsid w:val="003D39AD"/>
    <w:rsid w:val="00460554"/>
    <w:rsid w:val="00485305"/>
    <w:rsid w:val="004D1E49"/>
    <w:rsid w:val="00506EFA"/>
    <w:rsid w:val="0052077F"/>
    <w:rsid w:val="00520E6C"/>
    <w:rsid w:val="00526F22"/>
    <w:rsid w:val="005446EF"/>
    <w:rsid w:val="00557A72"/>
    <w:rsid w:val="00563ED6"/>
    <w:rsid w:val="00566637"/>
    <w:rsid w:val="005C6E34"/>
    <w:rsid w:val="005D4652"/>
    <w:rsid w:val="006044EF"/>
    <w:rsid w:val="00620FBA"/>
    <w:rsid w:val="00633DDD"/>
    <w:rsid w:val="00642CF8"/>
    <w:rsid w:val="0065502C"/>
    <w:rsid w:val="00672F54"/>
    <w:rsid w:val="0068509F"/>
    <w:rsid w:val="006B5B19"/>
    <w:rsid w:val="006C575D"/>
    <w:rsid w:val="00713985"/>
    <w:rsid w:val="0073183E"/>
    <w:rsid w:val="00772DDE"/>
    <w:rsid w:val="007B72FB"/>
    <w:rsid w:val="007C0E42"/>
    <w:rsid w:val="007D602D"/>
    <w:rsid w:val="00800F38"/>
    <w:rsid w:val="0080517D"/>
    <w:rsid w:val="00810410"/>
    <w:rsid w:val="0081114C"/>
    <w:rsid w:val="00844990"/>
    <w:rsid w:val="008531D4"/>
    <w:rsid w:val="00864A05"/>
    <w:rsid w:val="00866D07"/>
    <w:rsid w:val="008A120E"/>
    <w:rsid w:val="008A53AE"/>
    <w:rsid w:val="008B2418"/>
    <w:rsid w:val="008B5EA6"/>
    <w:rsid w:val="008D0968"/>
    <w:rsid w:val="008F49B8"/>
    <w:rsid w:val="008F573A"/>
    <w:rsid w:val="00904A62"/>
    <w:rsid w:val="00913D69"/>
    <w:rsid w:val="009155C9"/>
    <w:rsid w:val="00917A58"/>
    <w:rsid w:val="00946630"/>
    <w:rsid w:val="00967404"/>
    <w:rsid w:val="00973745"/>
    <w:rsid w:val="009F168C"/>
    <w:rsid w:val="00A10971"/>
    <w:rsid w:val="00A3208A"/>
    <w:rsid w:val="00A45353"/>
    <w:rsid w:val="00A5418B"/>
    <w:rsid w:val="00A6478E"/>
    <w:rsid w:val="00A76A66"/>
    <w:rsid w:val="00A76EAF"/>
    <w:rsid w:val="00B019FB"/>
    <w:rsid w:val="00B01CC2"/>
    <w:rsid w:val="00B07F25"/>
    <w:rsid w:val="00B26713"/>
    <w:rsid w:val="00B42DE8"/>
    <w:rsid w:val="00B472DE"/>
    <w:rsid w:val="00B50DE0"/>
    <w:rsid w:val="00BC5F79"/>
    <w:rsid w:val="00BC64C1"/>
    <w:rsid w:val="00BD3CC4"/>
    <w:rsid w:val="00BE24A0"/>
    <w:rsid w:val="00BE424E"/>
    <w:rsid w:val="00C105D8"/>
    <w:rsid w:val="00C113F9"/>
    <w:rsid w:val="00C20444"/>
    <w:rsid w:val="00C6076E"/>
    <w:rsid w:val="00C67D51"/>
    <w:rsid w:val="00C730D1"/>
    <w:rsid w:val="00C765FE"/>
    <w:rsid w:val="00CD2804"/>
    <w:rsid w:val="00D015E3"/>
    <w:rsid w:val="00D67D1B"/>
    <w:rsid w:val="00D940D6"/>
    <w:rsid w:val="00DA35E9"/>
    <w:rsid w:val="00DD4CBC"/>
    <w:rsid w:val="00E05F2C"/>
    <w:rsid w:val="00E33E36"/>
    <w:rsid w:val="00E346A5"/>
    <w:rsid w:val="00E56EA4"/>
    <w:rsid w:val="00E9631C"/>
    <w:rsid w:val="00EC77F1"/>
    <w:rsid w:val="00ED1C96"/>
    <w:rsid w:val="00EF2BE4"/>
    <w:rsid w:val="00F04502"/>
    <w:rsid w:val="00F06024"/>
    <w:rsid w:val="00F45E52"/>
    <w:rsid w:val="00F61B15"/>
    <w:rsid w:val="00F928B9"/>
    <w:rsid w:val="00F92DD8"/>
    <w:rsid w:val="00FF5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2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66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1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1C9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6740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105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05D8"/>
  </w:style>
  <w:style w:type="paragraph" w:styleId="Piedepgina">
    <w:name w:val="footer"/>
    <w:basedOn w:val="Normal"/>
    <w:link w:val="PiedepginaCar"/>
    <w:uiPriority w:val="99"/>
    <w:unhideWhenUsed/>
    <w:rsid w:val="00C105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05D8"/>
  </w:style>
  <w:style w:type="character" w:customStyle="1" w:styleId="marktk5u2n6th">
    <w:name w:val="marktk5u2n6th"/>
    <w:basedOn w:val="Fuentedeprrafopredeter"/>
    <w:rsid w:val="0052077F"/>
  </w:style>
  <w:style w:type="paragraph" w:customStyle="1" w:styleId="xxelementtoproof">
    <w:name w:val="x_x_elementtoproof"/>
    <w:basedOn w:val="Normal"/>
    <w:rsid w:val="00520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9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4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7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5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0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2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0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8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9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3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9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7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50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6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85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241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273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762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044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22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6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5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81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0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38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2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140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88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758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783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02851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24626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6143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39750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63281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2167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162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52061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387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25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9235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90779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8059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7753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65158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42550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1396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9602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92082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78563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25522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673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60696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7830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7584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14332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42885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3142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3808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6917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81016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45813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45993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96277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380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4538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1952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73538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8466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2138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52778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83318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1344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56385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6408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4762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81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7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8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5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9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9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6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5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96626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74787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153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83227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86162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662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6128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4946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925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19331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7032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638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28204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8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4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48501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42716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118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00686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33271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37515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2054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45882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1995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2565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1940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8762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2307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29740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16749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020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02688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37914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53590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8278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80343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9482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1913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57701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67311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6784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45292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99253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65335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1638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1733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90362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922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81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88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2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37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461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3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2070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8196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6863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65145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3996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47258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3382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9880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7921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7453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8005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8325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86526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75780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74314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4911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438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0169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5768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071075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14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549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6957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65150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430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0182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71677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40630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68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05111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97449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5936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28617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76967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1389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501246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82152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86359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0985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56552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17599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51949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4687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688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960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47187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9341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1048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1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66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55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6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5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53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4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786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marcela.aleman</dc:creator>
  <cp:lastModifiedBy>marcela.aleman</cp:lastModifiedBy>
  <cp:revision>9</cp:revision>
  <cp:lastPrinted>2025-03-26T16:09:00Z</cp:lastPrinted>
  <dcterms:created xsi:type="dcterms:W3CDTF">2025-03-26T16:04:00Z</dcterms:created>
  <dcterms:modified xsi:type="dcterms:W3CDTF">2025-11-17T17:47:00Z</dcterms:modified>
</cp:coreProperties>
</file>